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422" w:tblpY="-826"/>
        <w:tblW w:w="10489" w:type="dxa"/>
        <w:tblBorders>
          <w:top w:val="single" w:sz="4" w:space="0" w:color="5D3261"/>
          <w:left w:val="single" w:sz="4" w:space="0" w:color="5D3261"/>
          <w:bottom w:val="single" w:sz="4" w:space="0" w:color="5D3261"/>
          <w:right w:val="single" w:sz="4" w:space="0" w:color="5D3261"/>
          <w:insideH w:val="single" w:sz="4" w:space="0" w:color="5D3261"/>
          <w:insideV w:val="single" w:sz="4" w:space="0" w:color="5D3261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6666"/>
      </w:tblGrid>
      <w:tr w:rsidR="00361E3B" w:rsidRPr="00C16028" w:rsidTr="00361E3B">
        <w:tc>
          <w:tcPr>
            <w:tcW w:w="169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361E3B" w:rsidP="00361E3B">
            <w:pPr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16028">
              <w:rPr>
                <w:rFonts w:cs="Arial"/>
                <w:b/>
                <w:sz w:val="20"/>
                <w:szCs w:val="20"/>
              </w:rPr>
              <w:t>Technical Function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16028">
              <w:rPr>
                <w:rFonts w:cs="Arial"/>
                <w:b/>
                <w:sz w:val="20"/>
                <w:szCs w:val="20"/>
              </w:rPr>
              <w:t>Standard</w:t>
            </w: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spacing w:after="12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C16028">
              <w:rPr>
                <w:rFonts w:cs="Arial"/>
                <w:sz w:val="20"/>
                <w:szCs w:val="20"/>
                <w:lang w:val="en-GB"/>
              </w:rPr>
              <w:t>EBSCO Host</w:t>
            </w:r>
          </w:p>
        </w:tc>
      </w:tr>
      <w:tr w:rsidR="00361E3B" w:rsidRPr="00C16028" w:rsidTr="00361E3B">
        <w:tc>
          <w:tcPr>
            <w:tcW w:w="169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Full Text Linking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b/>
                <w:sz w:val="20"/>
                <w:szCs w:val="20"/>
              </w:rPr>
            </w:pPr>
            <w:hyperlink r:id="rId7" w:history="1">
              <w:proofErr w:type="spellStart"/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OpenURL</w:t>
              </w:r>
              <w:proofErr w:type="spellEnd"/>
            </w:hyperlink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16028">
              <w:rPr>
                <w:rFonts w:cs="Arial"/>
                <w:bCs/>
                <w:color w:val="000000" w:themeColor="text1"/>
                <w:sz w:val="20"/>
                <w:szCs w:val="20"/>
              </w:rPr>
              <w:t>Smartlinks</w:t>
            </w:r>
            <w:proofErr w:type="spellEnd"/>
            <w:r w:rsidRPr="00C16028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– Any full text articles that are available via the library’s other EBSCO databases (e.g. Business Source) will be automatically shown in the INSPEC record on </w:t>
            </w:r>
            <w:proofErr w:type="spellStart"/>
            <w:r w:rsidRPr="00C16028">
              <w:rPr>
                <w:rFonts w:cs="Arial"/>
                <w:bCs/>
                <w:color w:val="000000" w:themeColor="text1"/>
                <w:sz w:val="20"/>
                <w:szCs w:val="20"/>
              </w:rPr>
              <w:t>EBSCOHost</w:t>
            </w:r>
            <w:proofErr w:type="spellEnd"/>
            <w:r w:rsidRPr="00C16028"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</w:p>
          <w:p w:rsidR="00361E3B" w:rsidRPr="00C16028" w:rsidRDefault="00361E3B" w:rsidP="00361E3B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bCs/>
                <w:color w:val="000000" w:themeColor="text1"/>
                <w:sz w:val="20"/>
                <w:szCs w:val="20"/>
              </w:rPr>
              <w:t>Open URL - linking services (link resolvers) such as SFX, SS360 Link or EBSCO’s Full Text Finder can be used to take the searcher from the INSPEC record on EBSCO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16028">
              <w:rPr>
                <w:rFonts w:cs="Arial"/>
                <w:bCs/>
                <w:color w:val="000000" w:themeColor="text1"/>
                <w:sz w:val="20"/>
                <w:szCs w:val="20"/>
              </w:rPr>
              <w:t>Host to full text which may be available outside of the EBSCO environment.</w:t>
            </w:r>
          </w:p>
        </w:tc>
      </w:tr>
      <w:tr w:rsidR="00361E3B" w:rsidRPr="00C16028" w:rsidTr="00361E3B">
        <w:tc>
          <w:tcPr>
            <w:tcW w:w="169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Federated Searching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8" w:history="1"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Z39.50 protocol</w:t>
              </w:r>
            </w:hyperlink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Yes</w:t>
            </w:r>
          </w:p>
        </w:tc>
      </w:tr>
      <w:tr w:rsidR="00361E3B" w:rsidRPr="00C16028" w:rsidTr="00361E3B">
        <w:tc>
          <w:tcPr>
            <w:tcW w:w="1696" w:type="dxa"/>
            <w:vMerge w:val="restart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Harvesting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 xml:space="preserve">• </w:t>
            </w:r>
            <w:hyperlink r:id="rId9" w:history="1">
              <w:r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SRW/SRU</w:t>
              </w:r>
            </w:hyperlink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61E3B" w:rsidRPr="00C16028" w:rsidTr="00361E3B">
        <w:tc>
          <w:tcPr>
            <w:tcW w:w="1696" w:type="dxa"/>
            <w:vMerge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 xml:space="preserve">• </w:t>
            </w:r>
            <w:hyperlink r:id="rId10" w:history="1">
              <w:r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OAI-PMH</w:t>
              </w:r>
            </w:hyperlink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61E3B" w:rsidRPr="00C16028" w:rsidTr="00361E3B">
        <w:tc>
          <w:tcPr>
            <w:tcW w:w="1696" w:type="dxa"/>
            <w:vMerge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• RSS/Atom</w:t>
            </w: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61E3B" w:rsidRPr="00C16028" w:rsidTr="00361E3B">
        <w:tc>
          <w:tcPr>
            <w:tcW w:w="1696" w:type="dxa"/>
            <w:vMerge w:val="restart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Metadata Standards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11" w:tooltip="Further details on the Dublin Core metadata standard" w:history="1"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Dublin Core</w:t>
              </w:r>
            </w:hyperlink>
            <w:r w:rsidR="00361E3B" w:rsidRPr="00C160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61E3B" w:rsidRPr="00C16028" w:rsidTr="00361E3B">
        <w:tc>
          <w:tcPr>
            <w:tcW w:w="1696" w:type="dxa"/>
            <w:vMerge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12" w:history="1">
              <w:r w:rsidR="00361E3B" w:rsidRPr="00C16028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MARC</w:t>
              </w:r>
            </w:hyperlink>
            <w:r w:rsidR="00361E3B" w:rsidRPr="00C16028">
              <w:rPr>
                <w:rFonts w:cs="Arial"/>
                <w:sz w:val="20"/>
                <w:szCs w:val="20"/>
              </w:rPr>
              <w:t xml:space="preserve"> - Machine-Readable Cataloguing</w:t>
            </w: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61E3B" w:rsidRPr="00C16028" w:rsidTr="00361E3B">
        <w:tc>
          <w:tcPr>
            <w:tcW w:w="1696" w:type="dxa"/>
            <w:vMerge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13" w:history="1"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PRISM</w:t>
              </w:r>
            </w:hyperlink>
            <w:r w:rsidR="00361E3B" w:rsidRPr="00C16028">
              <w:rPr>
                <w:rFonts w:cs="Arial"/>
                <w:sz w:val="20"/>
                <w:szCs w:val="20"/>
              </w:rPr>
              <w:t xml:space="preserve"> - Publishing Requirements for Industry Standard Metadata</w:t>
            </w: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61E3B" w:rsidRPr="00C16028" w:rsidTr="00361E3B">
        <w:tc>
          <w:tcPr>
            <w:tcW w:w="169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bCs/>
                <w:sz w:val="20"/>
                <w:szCs w:val="20"/>
              </w:rPr>
            </w:pPr>
            <w:r w:rsidRPr="00C16028">
              <w:rPr>
                <w:rFonts w:cs="Arial"/>
                <w:bCs/>
                <w:sz w:val="20"/>
                <w:szCs w:val="20"/>
                <w:lang w:val="en-GB"/>
              </w:rPr>
              <w:t>Embargo Periods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</w:tcPr>
          <w:p w:rsidR="00361E3B" w:rsidRPr="00C16028" w:rsidRDefault="00361E3B" w:rsidP="00361E3B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Set by Publisher if any</w:t>
            </w:r>
          </w:p>
        </w:tc>
      </w:tr>
      <w:tr w:rsidR="00361E3B" w:rsidRPr="00C16028" w:rsidTr="00361E3B">
        <w:tc>
          <w:tcPr>
            <w:tcW w:w="1696" w:type="dxa"/>
            <w:vMerge w:val="restart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bCs/>
                <w:sz w:val="20"/>
                <w:szCs w:val="20"/>
                <w:lang w:val="en-GB"/>
              </w:rPr>
            </w:pPr>
            <w:r w:rsidRPr="00C16028">
              <w:rPr>
                <w:rFonts w:cs="Arial"/>
                <w:sz w:val="20"/>
                <w:szCs w:val="20"/>
              </w:rPr>
              <w:t>Digital Preservation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14" w:history="1">
              <w:proofErr w:type="spellStart"/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Lockss</w:t>
              </w:r>
              <w:proofErr w:type="spellEnd"/>
            </w:hyperlink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61E3B" w:rsidRPr="00C16028" w:rsidTr="00361E3B">
        <w:tc>
          <w:tcPr>
            <w:tcW w:w="1696" w:type="dxa"/>
            <w:vMerge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spacing w:before="0" w:after="0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15" w:history="1">
              <w:proofErr w:type="spellStart"/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Clockss</w:t>
              </w:r>
              <w:proofErr w:type="spellEnd"/>
            </w:hyperlink>
            <w:r w:rsidR="00361E3B" w:rsidRPr="00C160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61E3B" w:rsidRPr="00C16028" w:rsidTr="00361E3B">
        <w:tc>
          <w:tcPr>
            <w:tcW w:w="1696" w:type="dxa"/>
            <w:vMerge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spacing w:before="0" w:after="0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16" w:history="1"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Portico</w:t>
              </w:r>
            </w:hyperlink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61E3B" w:rsidRPr="00C16028" w:rsidTr="00361E3B">
        <w:tc>
          <w:tcPr>
            <w:tcW w:w="1696" w:type="dxa"/>
            <w:vMerge w:val="restart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Usage Statistics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17" w:tgtFrame="_blank" w:tooltip="Further detals on the COUNTER usage statistics standard" w:history="1"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COUNTER</w:t>
              </w:r>
            </w:hyperlink>
          </w:p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Yes – COUNTER v.4</w:t>
            </w:r>
          </w:p>
        </w:tc>
      </w:tr>
      <w:tr w:rsidR="00361E3B" w:rsidRPr="00C16028" w:rsidTr="00361E3B">
        <w:tc>
          <w:tcPr>
            <w:tcW w:w="1696" w:type="dxa"/>
            <w:vMerge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18" w:tgtFrame="_blank" w:tooltip="Further details on the SUSHI usage statistics standard" w:history="1"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</w:rPr>
                <w:t>SUSHI</w:t>
              </w:r>
            </w:hyperlink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jc w:val="center"/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</w:rPr>
              <w:t>Yes</w:t>
            </w:r>
          </w:p>
        </w:tc>
      </w:tr>
      <w:tr w:rsidR="00361E3B" w:rsidRPr="00C16028" w:rsidTr="00361E3B">
        <w:tc>
          <w:tcPr>
            <w:tcW w:w="169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  <w:lang w:val="en-GB"/>
              </w:rPr>
              <w:t>Accessibility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hideMark/>
          </w:tcPr>
          <w:p w:rsidR="00361E3B" w:rsidRPr="00C16028" w:rsidRDefault="006B7E12" w:rsidP="00361E3B">
            <w:pPr>
              <w:rPr>
                <w:rFonts w:cs="Arial"/>
                <w:sz w:val="20"/>
                <w:szCs w:val="20"/>
              </w:rPr>
            </w:pPr>
            <w:hyperlink r:id="rId19" w:history="1">
              <w:r w:rsidR="00361E3B" w:rsidRPr="00C16028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Web Content Accessibility Guidelines</w:t>
              </w:r>
            </w:hyperlink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</w:tcPr>
          <w:p w:rsidR="00361E3B" w:rsidRPr="00C16028" w:rsidRDefault="00361E3B" w:rsidP="00361E3B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EBSCOhost is compatible with JAWS 8.0 and is 508 FAR compliant and WCAG priority 2 compliant.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EBSCO has invested time and resources to exceed global web accessibility standards by improving page orientation and navigation of EBSCOhost.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 </w:t>
            </w: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 xml:space="preserve"> This means that visually and physically impaired users can </w:t>
            </w:r>
            <w:proofErr w:type="spellStart"/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utilise</w:t>
            </w:r>
            <w:proofErr w:type="spellEnd"/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 xml:space="preserve"> the features of EBSCOhost and all users benefit from the modifications. 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361E3B" w:rsidRPr="00C16028" w:rsidRDefault="00361E3B" w:rsidP="00361E3B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Notable improvements include:</w:t>
            </w:r>
          </w:p>
          <w:p w:rsidR="00361E3B" w:rsidRPr="00C16028" w:rsidRDefault="00361E3B" w:rsidP="00361E3B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Elimination of most tables to improve searching with screen readers or keyboard controls</w:t>
            </w:r>
          </w:p>
          <w:p w:rsidR="00361E3B" w:rsidRPr="00C16028" w:rsidRDefault="00361E3B" w:rsidP="00361E3B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Descriptive page titles, section header tags and selected link labels</w:t>
            </w:r>
          </w:p>
          <w:p w:rsidR="00361E3B" w:rsidRPr="00C16028" w:rsidRDefault="00361E3B" w:rsidP="00361E3B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Redesigned form controls for easier tab navigation</w:t>
            </w:r>
          </w:p>
          <w:p w:rsidR="00361E3B" w:rsidRPr="00C16028" w:rsidRDefault="00361E3B" w:rsidP="00361E3B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Streamlined code for simpler page structures</w:t>
            </w:r>
          </w:p>
          <w:p w:rsidR="00361E3B" w:rsidRPr="00C16028" w:rsidRDefault="00361E3B" w:rsidP="00361E3B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Access keys support international keyboards functionality across multiple browsers</w:t>
            </w:r>
          </w:p>
          <w:p w:rsidR="00361E3B" w:rsidRPr="00C16028" w:rsidRDefault="00361E3B" w:rsidP="00361E3B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Detailed alternative text image descriptions</w:t>
            </w:r>
          </w:p>
          <w:p w:rsidR="00361E3B" w:rsidRPr="00C16028" w:rsidRDefault="00361E3B" w:rsidP="00361E3B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Visually and physically impaired users can perform most searches independently</w:t>
            </w:r>
          </w:p>
          <w:p w:rsidR="00361E3B" w:rsidRPr="00C16028" w:rsidRDefault="00361E3B" w:rsidP="00361E3B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Decreased page size means shorter download times for all users</w:t>
            </w:r>
          </w:p>
          <w:p w:rsidR="00361E3B" w:rsidRPr="00C16028" w:rsidRDefault="00361E3B" w:rsidP="00361E3B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EBSCO is focused on additional accessibility improvements for the future, and will continue to proactively address accessibility issues in future software releases</w:t>
            </w:r>
          </w:p>
        </w:tc>
      </w:tr>
      <w:tr w:rsidR="00361E3B" w:rsidRPr="00C16028" w:rsidTr="00361E3B">
        <w:tc>
          <w:tcPr>
            <w:tcW w:w="169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sz w:val="20"/>
                <w:szCs w:val="20"/>
                <w:lang w:val="en-GB"/>
              </w:rPr>
              <w:lastRenderedPageBreak/>
              <w:t>Personalisation features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The ‘My EBSCOhost’ folder allows the user to store articles and retrieve them for use at a later date.  The user can also delete unwanted articles as well as use a number of tools that include print, email and export data to a bibliographic manager of their choosing.</w:t>
            </w:r>
          </w:p>
        </w:tc>
      </w:tr>
      <w:tr w:rsidR="00361E3B" w:rsidRPr="00C16028" w:rsidTr="00361E3B">
        <w:tc>
          <w:tcPr>
            <w:tcW w:w="169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  <w:lang w:val="en-GB"/>
              </w:rPr>
            </w:pPr>
            <w:r w:rsidRPr="00C16028">
              <w:rPr>
                <w:rFonts w:cs="Arial"/>
                <w:sz w:val="20"/>
                <w:szCs w:val="20"/>
              </w:rPr>
              <w:t>Service Levels</w:t>
            </w:r>
          </w:p>
        </w:tc>
        <w:tc>
          <w:tcPr>
            <w:tcW w:w="2127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5D3261"/>
              <w:left w:val="single" w:sz="4" w:space="0" w:color="5D3261"/>
              <w:bottom w:val="single" w:sz="4" w:space="0" w:color="5D3261"/>
              <w:right w:val="single" w:sz="4" w:space="0" w:color="5D3261"/>
            </w:tcBorders>
            <w:vAlign w:val="center"/>
            <w:hideMark/>
          </w:tcPr>
          <w:p w:rsidR="00361E3B" w:rsidRPr="00C16028" w:rsidRDefault="00361E3B" w:rsidP="00361E3B">
            <w:pPr>
              <w:rPr>
                <w:rFonts w:cs="Arial"/>
                <w:sz w:val="20"/>
                <w:szCs w:val="20"/>
              </w:rPr>
            </w:pPr>
            <w:r w:rsidRPr="00C16028">
              <w:rPr>
                <w:rFonts w:cs="Arial"/>
                <w:color w:val="000000" w:themeColor="text1"/>
                <w:sz w:val="20"/>
                <w:szCs w:val="20"/>
              </w:rPr>
              <w:t>EBSCOhost is available 24 hours per day, 365 days per year. Since its inception, the EBSCOhost service has been available over 99.9% of the time, made possible by our service delivery network architecture.</w:t>
            </w:r>
          </w:p>
        </w:tc>
      </w:tr>
    </w:tbl>
    <w:p w:rsidR="00361E3B" w:rsidRDefault="00361E3B"/>
    <w:p w:rsidR="00552651" w:rsidRDefault="00552651"/>
    <w:sectPr w:rsidR="00552651" w:rsidSect="00C16028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12" w:rsidRDefault="006B7E12" w:rsidP="00361E3B">
      <w:pPr>
        <w:spacing w:before="0" w:after="0"/>
      </w:pPr>
      <w:r>
        <w:separator/>
      </w:r>
    </w:p>
  </w:endnote>
  <w:endnote w:type="continuationSeparator" w:id="0">
    <w:p w:rsidR="006B7E12" w:rsidRDefault="006B7E12" w:rsidP="00361E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12" w:rsidRDefault="006B7E12" w:rsidP="00361E3B">
      <w:pPr>
        <w:spacing w:before="0" w:after="0"/>
      </w:pPr>
      <w:r>
        <w:separator/>
      </w:r>
    </w:p>
  </w:footnote>
  <w:footnote w:type="continuationSeparator" w:id="0">
    <w:p w:rsidR="006B7E12" w:rsidRDefault="006B7E12" w:rsidP="00361E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3B" w:rsidRDefault="00361E3B">
    <w:pPr>
      <w:pStyle w:val="Header"/>
    </w:pPr>
    <w:r w:rsidRPr="00361E3B">
      <w:rPr>
        <w:noProof/>
        <w:lang w:val="en-GB" w:eastAsia="en-GB"/>
      </w:rPr>
      <w:drawing>
        <wp:inline distT="0" distB="0" distL="0" distR="0">
          <wp:extent cx="1310185" cy="635311"/>
          <wp:effectExtent l="0" t="0" r="4445" b="0"/>
          <wp:docPr id="2" name="Picture 2" descr="G:\Corporate-Information\Logos-Eduserv\Logo with strapline\Standard logo with strapline for print\EDU014_PUBLIC GOOD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rporate-Information\Logos-Eduserv\Logo with strapline\Standard logo with strapline for print\EDU014_PUBLIC GOOD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861" cy="646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1E3B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3717F50" wp14:editId="242DFC00">
          <wp:simplePos x="0" y="0"/>
          <wp:positionH relativeFrom="column">
            <wp:posOffset>5273675</wp:posOffset>
          </wp:positionH>
          <wp:positionV relativeFrom="paragraph">
            <wp:posOffset>-3914</wp:posOffset>
          </wp:positionV>
          <wp:extent cx="1650801" cy="628319"/>
          <wp:effectExtent l="0" t="0" r="6985" b="635"/>
          <wp:wrapNone/>
          <wp:docPr id="1" name="Picture 1" descr="G:\Chest\3 - Marketing Comms\Supplier Logos - Chest Agreements\EBSCO\For email\EBSCO logo.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hest\3 - Marketing Comms\Supplier Logos - Chest Agreements\EBSCO\For email\EBSCO logo. colo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801" cy="628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1E3B" w:rsidRDefault="00361E3B">
    <w:pPr>
      <w:pStyle w:val="Header"/>
    </w:pPr>
  </w:p>
  <w:p w:rsidR="00361E3B" w:rsidRDefault="00361E3B">
    <w:pPr>
      <w:pStyle w:val="Header"/>
    </w:pPr>
  </w:p>
  <w:p w:rsidR="00361E3B" w:rsidRDefault="00361E3B">
    <w:pPr>
      <w:pStyle w:val="Header"/>
    </w:pPr>
  </w:p>
  <w:p w:rsidR="00361E3B" w:rsidRDefault="00361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3C03"/>
    <w:multiLevelType w:val="hybridMultilevel"/>
    <w:tmpl w:val="22EE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28"/>
    <w:rsid w:val="000E3DE6"/>
    <w:rsid w:val="00361E3B"/>
    <w:rsid w:val="00552651"/>
    <w:rsid w:val="006B7E12"/>
    <w:rsid w:val="00720214"/>
    <w:rsid w:val="00C1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F2A1-B1A2-4DD1-BF93-70D69DE2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028"/>
    <w:pPr>
      <w:spacing w:before="120" w:after="18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028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E3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61E3B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1E3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1E3B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z3950/agency/" TargetMode="External"/><Relationship Id="rId13" Type="http://schemas.openxmlformats.org/officeDocument/2006/relationships/hyperlink" Target="http://www.idealliance.org/specifications/prism/" TargetMode="External"/><Relationship Id="rId18" Type="http://schemas.openxmlformats.org/officeDocument/2006/relationships/hyperlink" Target="http://www.niso.org/workrooms/sush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iso.org/kst/reports/standards?step=2&amp;gid=None&amp;project_key%3Austring%3Aiso-8859-1=d5320409c5160be4697dc046613f71b9a773cd9e" TargetMode="External"/><Relationship Id="rId12" Type="http://schemas.openxmlformats.org/officeDocument/2006/relationships/hyperlink" Target="http://www.loc.gov/marc/" TargetMode="External"/><Relationship Id="rId17" Type="http://schemas.openxmlformats.org/officeDocument/2006/relationships/hyperlink" Target="http://www.projectcounte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rtico.org/digital-preservation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ublincor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lockss.org/clockss/Home" TargetMode="External"/><Relationship Id="rId10" Type="http://schemas.openxmlformats.org/officeDocument/2006/relationships/hyperlink" Target="http://www.openarchives.org/pmh/" TargetMode="External"/><Relationship Id="rId19" Type="http://schemas.openxmlformats.org/officeDocument/2006/relationships/hyperlink" Target="http://www.w3.org/WAI/intro/wca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c.gov/standards/sru/" TargetMode="External"/><Relationship Id="rId14" Type="http://schemas.openxmlformats.org/officeDocument/2006/relationships/hyperlink" Target="http://www.lockss.org/lockss/Hom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Eduserv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Offiler</dc:creator>
  <cp:keywords/>
  <dc:description/>
  <cp:lastModifiedBy>Jenny Carroll</cp:lastModifiedBy>
  <cp:revision>2</cp:revision>
  <dcterms:created xsi:type="dcterms:W3CDTF">2018-07-25T14:35:00Z</dcterms:created>
  <dcterms:modified xsi:type="dcterms:W3CDTF">2018-07-25T14:35:00Z</dcterms:modified>
</cp:coreProperties>
</file>